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AB3CB" w14:textId="77777777" w:rsidR="007E72DF" w:rsidRPr="0067282E" w:rsidRDefault="007E72DF" w:rsidP="007E72DF">
      <w:pPr>
        <w:rPr>
          <w:rFonts w:ascii="Arial" w:hAnsi="Arial" w:cs="Arial"/>
        </w:rPr>
      </w:pPr>
      <w:bookmarkStart w:id="0" w:name="_GoBack"/>
      <w:bookmarkEnd w:id="0"/>
      <w:r w:rsidRPr="0067282E">
        <w:rPr>
          <w:rFonts w:ascii="Arial" w:hAnsi="Arial" w:cs="Arial"/>
        </w:rPr>
        <w:t xml:space="preserve">NASCHOLING: </w:t>
      </w:r>
      <w:r>
        <w:rPr>
          <w:rFonts w:ascii="Arial" w:hAnsi="Arial" w:cs="Arial"/>
        </w:rPr>
        <w:tab/>
        <w:t xml:space="preserve">Oplossingsgericht Coachen </w:t>
      </w:r>
    </w:p>
    <w:p w14:paraId="35A013F1" w14:textId="77777777" w:rsidR="007E72DF" w:rsidRDefault="007E72DF" w:rsidP="007E72DF">
      <w:pPr>
        <w:rPr>
          <w:rFonts w:ascii="Arial" w:hAnsi="Arial" w:cs="Arial"/>
        </w:rPr>
      </w:pPr>
      <w:r w:rsidRPr="0067282E">
        <w:rPr>
          <w:rFonts w:ascii="Arial" w:hAnsi="Arial" w:cs="Arial"/>
        </w:rPr>
        <w:t>OMVANG:</w:t>
      </w:r>
      <w:r>
        <w:rPr>
          <w:rFonts w:ascii="Arial" w:hAnsi="Arial" w:cs="Arial"/>
        </w:rPr>
        <w:tab/>
      </w:r>
      <w:r>
        <w:rPr>
          <w:rFonts w:ascii="Arial" w:hAnsi="Arial" w:cs="Arial"/>
        </w:rPr>
        <w:tab/>
        <w:t>1 avond = 3 uur / PE punten</w:t>
      </w:r>
    </w:p>
    <w:p w14:paraId="5929C9EF" w14:textId="77777777" w:rsidR="007E72DF" w:rsidRDefault="007E72DF" w:rsidP="007E72DF">
      <w:pPr>
        <w:rPr>
          <w:rFonts w:ascii="Arial" w:hAnsi="Arial" w:cs="Arial"/>
        </w:rPr>
      </w:pPr>
      <w:r>
        <w:rPr>
          <w:rFonts w:ascii="Arial" w:hAnsi="Arial" w:cs="Arial"/>
        </w:rPr>
        <w:t>DATA:</w:t>
      </w:r>
      <w:r>
        <w:rPr>
          <w:rFonts w:ascii="Arial" w:hAnsi="Arial" w:cs="Arial"/>
        </w:rPr>
        <w:tab/>
      </w:r>
      <w:r>
        <w:rPr>
          <w:rFonts w:ascii="Arial" w:hAnsi="Arial" w:cs="Arial"/>
        </w:rPr>
        <w:tab/>
      </w:r>
      <w:r>
        <w:rPr>
          <w:rFonts w:ascii="Arial" w:hAnsi="Arial" w:cs="Arial"/>
        </w:rPr>
        <w:tab/>
        <w:t>Nader te bepalen</w:t>
      </w:r>
    </w:p>
    <w:p w14:paraId="3334C4F2" w14:textId="77777777" w:rsidR="007E72DF" w:rsidRDefault="007E72DF" w:rsidP="007E72DF">
      <w:pPr>
        <w:rPr>
          <w:rFonts w:ascii="Arial" w:hAnsi="Arial" w:cs="Arial"/>
        </w:rPr>
      </w:pPr>
      <w:r>
        <w:rPr>
          <w:rFonts w:ascii="Arial" w:hAnsi="Arial" w:cs="Arial"/>
        </w:rPr>
        <w:t>TIJDEN:</w:t>
      </w:r>
      <w:r>
        <w:rPr>
          <w:rFonts w:ascii="Arial" w:hAnsi="Arial" w:cs="Arial"/>
        </w:rPr>
        <w:tab/>
      </w:r>
      <w:r>
        <w:rPr>
          <w:rFonts w:ascii="Arial" w:hAnsi="Arial" w:cs="Arial"/>
        </w:rPr>
        <w:tab/>
      </w:r>
      <w:r w:rsidR="00485FD0">
        <w:rPr>
          <w:rFonts w:ascii="Arial" w:hAnsi="Arial" w:cs="Arial"/>
        </w:rPr>
        <w:t>17.30 ontvangst met soep/brood, aanvang 18.00, einde 21.15</w:t>
      </w:r>
    </w:p>
    <w:p w14:paraId="0A7439B4" w14:textId="77777777" w:rsidR="007E72DF" w:rsidRDefault="007E72DF" w:rsidP="007E72DF">
      <w:pPr>
        <w:rPr>
          <w:rFonts w:ascii="Arial" w:hAnsi="Arial" w:cs="Arial"/>
        </w:rPr>
      </w:pPr>
      <w:r>
        <w:rPr>
          <w:rFonts w:ascii="Arial" w:hAnsi="Arial" w:cs="Arial"/>
        </w:rPr>
        <w:t>DOELEN:</w:t>
      </w:r>
      <w:r>
        <w:rPr>
          <w:rFonts w:ascii="Arial" w:hAnsi="Arial" w:cs="Arial"/>
        </w:rPr>
        <w:tab/>
      </w:r>
      <w:r>
        <w:rPr>
          <w:rFonts w:ascii="Arial" w:hAnsi="Arial" w:cs="Arial"/>
        </w:rPr>
        <w:tab/>
        <w:t xml:space="preserve">Verbeteren van </w:t>
      </w:r>
      <w:proofErr w:type="spellStart"/>
      <w:r>
        <w:rPr>
          <w:rFonts w:ascii="Arial" w:hAnsi="Arial" w:cs="Arial"/>
        </w:rPr>
        <w:t>coachingsvaardigheden</w:t>
      </w:r>
      <w:proofErr w:type="spellEnd"/>
    </w:p>
    <w:p w14:paraId="27D6744D" w14:textId="77777777" w:rsidR="007E72DF" w:rsidRDefault="007E72DF" w:rsidP="007E72DF">
      <w:pPr>
        <w:rPr>
          <w:rFonts w:ascii="Arial" w:hAnsi="Arial" w:cs="Arial"/>
        </w:rPr>
      </w:pPr>
      <w:r>
        <w:rPr>
          <w:rFonts w:ascii="Arial" w:hAnsi="Arial" w:cs="Arial"/>
        </w:rPr>
        <w:tab/>
      </w:r>
      <w:r>
        <w:rPr>
          <w:rFonts w:ascii="Arial" w:hAnsi="Arial" w:cs="Arial"/>
        </w:rPr>
        <w:tab/>
      </w:r>
      <w:r>
        <w:rPr>
          <w:rFonts w:ascii="Arial" w:hAnsi="Arial" w:cs="Arial"/>
        </w:rPr>
        <w:tab/>
        <w:t>Kennis in Oplossingsgericht coachen</w:t>
      </w:r>
    </w:p>
    <w:p w14:paraId="69387381" w14:textId="77777777" w:rsidR="007E72DF" w:rsidRDefault="007E72DF" w:rsidP="007E72DF">
      <w:pPr>
        <w:rPr>
          <w:rFonts w:ascii="Arial" w:hAnsi="Arial" w:cs="Arial"/>
        </w:rPr>
      </w:pPr>
      <w:r>
        <w:rPr>
          <w:rFonts w:ascii="Arial" w:hAnsi="Arial" w:cs="Arial"/>
        </w:rPr>
        <w:t>TRAINER:</w:t>
      </w:r>
      <w:r>
        <w:rPr>
          <w:rFonts w:ascii="Arial" w:hAnsi="Arial" w:cs="Arial"/>
        </w:rPr>
        <w:tab/>
      </w:r>
      <w:r>
        <w:rPr>
          <w:rFonts w:ascii="Arial" w:hAnsi="Arial" w:cs="Arial"/>
        </w:rPr>
        <w:tab/>
        <w:t>Hans van der Veen, Begeleidingskundige</w:t>
      </w:r>
    </w:p>
    <w:p w14:paraId="35B40B48" w14:textId="77777777" w:rsidR="007E72DF" w:rsidRDefault="007E72DF" w:rsidP="007E72DF">
      <w:pPr>
        <w:ind w:left="2124" w:hanging="2124"/>
        <w:rPr>
          <w:rFonts w:ascii="Arial" w:hAnsi="Arial" w:cs="Arial"/>
        </w:rPr>
      </w:pPr>
      <w:r>
        <w:rPr>
          <w:rFonts w:ascii="Arial" w:hAnsi="Arial" w:cs="Arial"/>
        </w:rPr>
        <w:t>WORKSHOPS:</w:t>
      </w:r>
      <w:r>
        <w:rPr>
          <w:rFonts w:ascii="Arial" w:hAnsi="Arial" w:cs="Arial"/>
        </w:rPr>
        <w:tab/>
        <w:t>Deze training van één dagdeel is afzonderlijk te volgen; aanbevolen wordt deze te volgen voorafgaand aan de cursus Ontwikkelingsgericht Coachen</w:t>
      </w:r>
    </w:p>
    <w:p w14:paraId="5721A6D1" w14:textId="77777777" w:rsidR="007E72DF" w:rsidRDefault="007E72DF" w:rsidP="007E72DF">
      <w:pPr>
        <w:rPr>
          <w:rFonts w:ascii="Arial" w:hAnsi="Arial" w:cs="Arial"/>
        </w:rPr>
      </w:pPr>
      <w:r>
        <w:rPr>
          <w:rFonts w:ascii="Arial" w:hAnsi="Arial" w:cs="Arial"/>
        </w:rPr>
        <w:t>INHOUD:</w:t>
      </w:r>
      <w:r>
        <w:rPr>
          <w:rFonts w:ascii="Arial" w:hAnsi="Arial" w:cs="Arial"/>
        </w:rPr>
        <w:tab/>
      </w:r>
      <w:r>
        <w:rPr>
          <w:rFonts w:ascii="Arial" w:hAnsi="Arial" w:cs="Arial"/>
        </w:rPr>
        <w:tab/>
        <w:t xml:space="preserve">Zie hieronder voor de inhoud </w:t>
      </w:r>
    </w:p>
    <w:p w14:paraId="41097BB7" w14:textId="77777777" w:rsidR="00F521C0" w:rsidRDefault="007E72DF" w:rsidP="007E72DF">
      <w:pPr>
        <w:rPr>
          <w:rFonts w:ascii="Arial" w:hAnsi="Arial" w:cs="Arial"/>
        </w:rPr>
      </w:pPr>
      <w:r>
        <w:rPr>
          <w:rFonts w:ascii="Arial" w:hAnsi="Arial" w:cs="Arial"/>
        </w:rPr>
        <w:t>KOSTEN:</w:t>
      </w:r>
    </w:p>
    <w:tbl>
      <w:tblPr>
        <w:tblW w:w="932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653"/>
        <w:gridCol w:w="6669"/>
      </w:tblGrid>
      <w:tr w:rsidR="007E72DF" w:rsidRPr="004A34C8" w14:paraId="458D9CEC" w14:textId="77777777" w:rsidTr="004C67E3">
        <w:tc>
          <w:tcPr>
            <w:tcW w:w="9322" w:type="dxa"/>
            <w:gridSpan w:val="2"/>
            <w:tcBorders>
              <w:top w:val="single" w:sz="8" w:space="0" w:color="404040"/>
              <w:left w:val="single" w:sz="8" w:space="0" w:color="404040"/>
              <w:bottom w:val="single" w:sz="8" w:space="0" w:color="404040"/>
              <w:right w:val="single" w:sz="8" w:space="0" w:color="404040"/>
            </w:tcBorders>
            <w:shd w:val="clear" w:color="auto" w:fill="000000"/>
          </w:tcPr>
          <w:p w14:paraId="23DBE284" w14:textId="77777777" w:rsidR="007E72DF" w:rsidRPr="004A34C8" w:rsidRDefault="007E72DF" w:rsidP="004C67E3">
            <w:pPr>
              <w:pStyle w:val="Kop2"/>
              <w:numPr>
                <w:ilvl w:val="0"/>
                <w:numId w:val="0"/>
              </w:numPr>
              <w:spacing w:before="0" w:after="0" w:line="276" w:lineRule="auto"/>
              <w:ind w:left="720"/>
              <w:jc w:val="both"/>
              <w:rPr>
                <w:b w:val="0"/>
                <w:color w:val="FFFFFF"/>
              </w:rPr>
            </w:pPr>
            <w:r>
              <w:rPr>
                <w:b w:val="0"/>
                <w:color w:val="FFFFFF"/>
              </w:rPr>
              <w:t>Workshop: Oplossingsgericht coachen</w:t>
            </w:r>
          </w:p>
        </w:tc>
      </w:tr>
      <w:tr w:rsidR="007E72DF" w:rsidRPr="004A34C8" w14:paraId="2FE4734F" w14:textId="77777777" w:rsidTr="004C67E3">
        <w:tc>
          <w:tcPr>
            <w:tcW w:w="9322" w:type="dxa"/>
            <w:gridSpan w:val="2"/>
            <w:shd w:val="clear" w:color="auto" w:fill="C0C0C0"/>
          </w:tcPr>
          <w:p w14:paraId="64C9E1B3" w14:textId="77777777" w:rsidR="007E72DF" w:rsidRPr="004A34C8" w:rsidRDefault="007E72DF" w:rsidP="004C67E3">
            <w:pPr>
              <w:rPr>
                <w:b/>
                <w:bCs/>
              </w:rPr>
            </w:pPr>
          </w:p>
        </w:tc>
      </w:tr>
      <w:tr w:rsidR="007E72DF" w:rsidRPr="004A34C8" w14:paraId="01E2367D" w14:textId="77777777" w:rsidTr="00F521C0">
        <w:tc>
          <w:tcPr>
            <w:tcW w:w="2653" w:type="dxa"/>
            <w:tcBorders>
              <w:right w:val="nil"/>
            </w:tcBorders>
            <w:shd w:val="clear" w:color="auto" w:fill="FFFFFF"/>
          </w:tcPr>
          <w:p w14:paraId="6A286B06" w14:textId="77777777" w:rsidR="007E72DF" w:rsidRPr="004A34C8" w:rsidRDefault="007E72DF" w:rsidP="004C67E3">
            <w:pPr>
              <w:rPr>
                <w:rFonts w:ascii="Arial" w:hAnsi="Arial" w:cs="Arial"/>
                <w:b/>
                <w:bCs/>
              </w:rPr>
            </w:pPr>
            <w:r w:rsidRPr="004A34C8">
              <w:rPr>
                <w:rFonts w:ascii="Arial" w:hAnsi="Arial" w:cs="Arial"/>
                <w:b/>
                <w:bCs/>
              </w:rPr>
              <w:t>Datum</w:t>
            </w:r>
          </w:p>
        </w:tc>
        <w:tc>
          <w:tcPr>
            <w:tcW w:w="6669" w:type="dxa"/>
            <w:tcBorders>
              <w:left w:val="nil"/>
            </w:tcBorders>
            <w:shd w:val="clear" w:color="auto" w:fill="FFFFFF"/>
          </w:tcPr>
          <w:p w14:paraId="2B9EB067" w14:textId="77777777" w:rsidR="007E72DF" w:rsidRPr="004A34C8" w:rsidRDefault="007E72DF" w:rsidP="004C67E3">
            <w:r>
              <w:t>1 dagdeel</w:t>
            </w:r>
          </w:p>
        </w:tc>
      </w:tr>
      <w:tr w:rsidR="007E72DF" w:rsidRPr="004A34C8" w14:paraId="6BB26963" w14:textId="77777777" w:rsidTr="00F521C0">
        <w:tc>
          <w:tcPr>
            <w:tcW w:w="2653" w:type="dxa"/>
            <w:tcBorders>
              <w:right w:val="nil"/>
            </w:tcBorders>
            <w:shd w:val="clear" w:color="auto" w:fill="C0C0C0"/>
          </w:tcPr>
          <w:p w14:paraId="5E510F6F" w14:textId="77777777" w:rsidR="007E72DF" w:rsidRPr="004A34C8" w:rsidRDefault="007E72DF" w:rsidP="004C67E3">
            <w:pPr>
              <w:rPr>
                <w:rFonts w:ascii="Arial" w:hAnsi="Arial" w:cs="Arial"/>
                <w:b/>
                <w:bCs/>
              </w:rPr>
            </w:pPr>
            <w:r w:rsidRPr="004A34C8">
              <w:rPr>
                <w:rFonts w:ascii="Arial" w:hAnsi="Arial" w:cs="Arial"/>
                <w:b/>
                <w:bCs/>
              </w:rPr>
              <w:t>Thema</w:t>
            </w:r>
          </w:p>
        </w:tc>
        <w:tc>
          <w:tcPr>
            <w:tcW w:w="6669" w:type="dxa"/>
            <w:tcBorders>
              <w:left w:val="nil"/>
            </w:tcBorders>
            <w:shd w:val="clear" w:color="auto" w:fill="C0C0C0"/>
          </w:tcPr>
          <w:p w14:paraId="66C9EDBD" w14:textId="77777777" w:rsidR="007E72DF" w:rsidRPr="004A34C8" w:rsidRDefault="007E72DF" w:rsidP="004C67E3">
            <w:r>
              <w:t>Begeleiden</w:t>
            </w:r>
          </w:p>
        </w:tc>
      </w:tr>
      <w:tr w:rsidR="007E72DF" w:rsidRPr="004A34C8" w14:paraId="2B418819" w14:textId="77777777" w:rsidTr="00F521C0">
        <w:tc>
          <w:tcPr>
            <w:tcW w:w="2653" w:type="dxa"/>
            <w:tcBorders>
              <w:right w:val="nil"/>
            </w:tcBorders>
            <w:shd w:val="clear" w:color="auto" w:fill="FFFFFF"/>
          </w:tcPr>
          <w:p w14:paraId="3681F33A" w14:textId="77777777" w:rsidR="007E72DF" w:rsidRPr="004A34C8" w:rsidRDefault="00F521C0" w:rsidP="004C67E3">
            <w:pPr>
              <w:rPr>
                <w:rFonts w:ascii="Arial" w:hAnsi="Arial" w:cs="Arial"/>
                <w:b/>
                <w:bCs/>
              </w:rPr>
            </w:pPr>
            <w:r>
              <w:rPr>
                <w:rFonts w:ascii="Arial" w:hAnsi="Arial" w:cs="Arial"/>
                <w:b/>
                <w:bCs/>
              </w:rPr>
              <w:t xml:space="preserve">Doel van de </w:t>
            </w:r>
            <w:r w:rsidR="007E72DF" w:rsidRPr="004A34C8">
              <w:rPr>
                <w:rFonts w:ascii="Arial" w:hAnsi="Arial" w:cs="Arial"/>
                <w:b/>
                <w:bCs/>
              </w:rPr>
              <w:t>bijeenkomst</w:t>
            </w:r>
          </w:p>
        </w:tc>
        <w:tc>
          <w:tcPr>
            <w:tcW w:w="6669" w:type="dxa"/>
            <w:tcBorders>
              <w:left w:val="nil"/>
            </w:tcBorders>
            <w:shd w:val="clear" w:color="auto" w:fill="FFFFFF"/>
          </w:tcPr>
          <w:p w14:paraId="325CC014" w14:textId="77777777" w:rsidR="007E72DF" w:rsidRPr="004A34C8" w:rsidRDefault="007E72DF" w:rsidP="004C67E3">
            <w:r>
              <w:t>Bekwamen in het resultaat gericht begeleiden van patiënten</w:t>
            </w:r>
          </w:p>
        </w:tc>
      </w:tr>
      <w:tr w:rsidR="007E72DF" w:rsidRPr="004A34C8" w14:paraId="76A83319" w14:textId="77777777" w:rsidTr="00F521C0">
        <w:tc>
          <w:tcPr>
            <w:tcW w:w="2653" w:type="dxa"/>
            <w:tcBorders>
              <w:right w:val="nil"/>
            </w:tcBorders>
            <w:shd w:val="clear" w:color="auto" w:fill="C0C0C0"/>
          </w:tcPr>
          <w:p w14:paraId="0C0EEFD7" w14:textId="77777777" w:rsidR="007E72DF" w:rsidRPr="004A34C8" w:rsidRDefault="007E72DF" w:rsidP="00F521C0">
            <w:pPr>
              <w:rPr>
                <w:rFonts w:ascii="Arial" w:hAnsi="Arial" w:cs="Arial"/>
                <w:b/>
                <w:bCs/>
              </w:rPr>
            </w:pPr>
            <w:r w:rsidRPr="004A34C8">
              <w:rPr>
                <w:rFonts w:ascii="Arial" w:hAnsi="Arial" w:cs="Arial"/>
                <w:b/>
                <w:bCs/>
              </w:rPr>
              <w:t xml:space="preserve">Relatie met </w:t>
            </w:r>
            <w:proofErr w:type="spellStart"/>
            <w:r w:rsidRPr="004A34C8">
              <w:rPr>
                <w:rFonts w:ascii="Arial" w:hAnsi="Arial" w:cs="Arial"/>
                <w:b/>
                <w:bCs/>
              </w:rPr>
              <w:t>Canmed</w:t>
            </w:r>
            <w:proofErr w:type="spellEnd"/>
            <w:r w:rsidRPr="004A34C8">
              <w:rPr>
                <w:rFonts w:ascii="Arial" w:hAnsi="Arial" w:cs="Arial"/>
                <w:b/>
                <w:bCs/>
              </w:rPr>
              <w:t xml:space="preserve"> </w:t>
            </w:r>
          </w:p>
        </w:tc>
        <w:tc>
          <w:tcPr>
            <w:tcW w:w="6669" w:type="dxa"/>
            <w:tcBorders>
              <w:left w:val="nil"/>
            </w:tcBorders>
            <w:shd w:val="clear" w:color="auto" w:fill="C0C0C0"/>
          </w:tcPr>
          <w:p w14:paraId="3413CCE5" w14:textId="77777777" w:rsidR="007E72DF" w:rsidRPr="004A34C8" w:rsidRDefault="007E72DF" w:rsidP="004C67E3">
            <w:r>
              <w:t>Communicator</w:t>
            </w:r>
          </w:p>
        </w:tc>
      </w:tr>
      <w:tr w:rsidR="007E72DF" w:rsidRPr="004A34C8" w14:paraId="1D4188D3" w14:textId="77777777" w:rsidTr="00F521C0">
        <w:tc>
          <w:tcPr>
            <w:tcW w:w="2653" w:type="dxa"/>
            <w:tcBorders>
              <w:right w:val="nil"/>
            </w:tcBorders>
            <w:shd w:val="clear" w:color="auto" w:fill="FFFFFF"/>
          </w:tcPr>
          <w:p w14:paraId="2DBD31FB" w14:textId="77777777" w:rsidR="007E72DF" w:rsidRPr="004A34C8" w:rsidRDefault="007E72DF" w:rsidP="004C67E3">
            <w:pPr>
              <w:rPr>
                <w:rFonts w:ascii="Arial" w:hAnsi="Arial" w:cs="Arial"/>
                <w:b/>
                <w:bCs/>
              </w:rPr>
            </w:pPr>
            <w:r w:rsidRPr="004A34C8">
              <w:rPr>
                <w:rFonts w:ascii="Arial" w:hAnsi="Arial" w:cs="Arial"/>
                <w:b/>
                <w:bCs/>
              </w:rPr>
              <w:t>Theoretisch model(</w:t>
            </w:r>
            <w:proofErr w:type="spellStart"/>
            <w:r w:rsidRPr="004A34C8">
              <w:rPr>
                <w:rFonts w:ascii="Arial" w:hAnsi="Arial" w:cs="Arial"/>
                <w:b/>
                <w:bCs/>
              </w:rPr>
              <w:t>len</w:t>
            </w:r>
            <w:proofErr w:type="spellEnd"/>
            <w:r w:rsidRPr="004A34C8">
              <w:rPr>
                <w:rFonts w:ascii="Arial" w:hAnsi="Arial" w:cs="Arial"/>
                <w:b/>
                <w:bCs/>
              </w:rPr>
              <w:t>)</w:t>
            </w:r>
          </w:p>
        </w:tc>
        <w:tc>
          <w:tcPr>
            <w:tcW w:w="6669" w:type="dxa"/>
            <w:tcBorders>
              <w:left w:val="nil"/>
            </w:tcBorders>
            <w:shd w:val="clear" w:color="auto" w:fill="FFFFFF"/>
          </w:tcPr>
          <w:p w14:paraId="4E33333D" w14:textId="77777777" w:rsidR="007E72DF" w:rsidRPr="004A34C8" w:rsidRDefault="007E72DF" w:rsidP="004C67E3">
            <w:r>
              <w:t>Oplossingsgericht werken</w:t>
            </w:r>
          </w:p>
        </w:tc>
      </w:tr>
      <w:tr w:rsidR="007E72DF" w:rsidRPr="004A34C8" w14:paraId="5F90CEF1" w14:textId="77777777" w:rsidTr="00F521C0">
        <w:tc>
          <w:tcPr>
            <w:tcW w:w="2653" w:type="dxa"/>
            <w:tcBorders>
              <w:right w:val="nil"/>
            </w:tcBorders>
            <w:shd w:val="clear" w:color="auto" w:fill="C0C0C0"/>
          </w:tcPr>
          <w:p w14:paraId="762ABC13" w14:textId="77777777" w:rsidR="007E72DF" w:rsidRPr="004A34C8" w:rsidRDefault="007E72DF" w:rsidP="004C67E3">
            <w:pPr>
              <w:rPr>
                <w:rFonts w:ascii="Arial" w:hAnsi="Arial" w:cs="Arial"/>
                <w:b/>
                <w:bCs/>
              </w:rPr>
            </w:pPr>
          </w:p>
        </w:tc>
        <w:tc>
          <w:tcPr>
            <w:tcW w:w="6669" w:type="dxa"/>
            <w:tcBorders>
              <w:left w:val="nil"/>
            </w:tcBorders>
            <w:shd w:val="clear" w:color="auto" w:fill="C0C0C0"/>
          </w:tcPr>
          <w:p w14:paraId="607E124C" w14:textId="77777777" w:rsidR="007E72DF" w:rsidRPr="004A34C8" w:rsidRDefault="007E72DF" w:rsidP="004C67E3"/>
        </w:tc>
      </w:tr>
      <w:tr w:rsidR="007E72DF" w:rsidRPr="004A34C8" w14:paraId="79DE0212" w14:textId="77777777" w:rsidTr="00F521C0">
        <w:tc>
          <w:tcPr>
            <w:tcW w:w="2653" w:type="dxa"/>
            <w:tcBorders>
              <w:right w:val="nil"/>
            </w:tcBorders>
            <w:shd w:val="clear" w:color="auto" w:fill="FFFFFF"/>
          </w:tcPr>
          <w:p w14:paraId="515FCB84" w14:textId="77777777" w:rsidR="007E72DF" w:rsidRPr="004A34C8" w:rsidRDefault="007E72DF" w:rsidP="004C67E3">
            <w:pPr>
              <w:rPr>
                <w:rFonts w:ascii="Arial" w:hAnsi="Arial" w:cs="Arial"/>
                <w:b/>
                <w:bCs/>
              </w:rPr>
            </w:pPr>
            <w:r w:rsidRPr="004A34C8">
              <w:rPr>
                <w:rFonts w:ascii="Arial" w:hAnsi="Arial" w:cs="Arial"/>
                <w:b/>
                <w:bCs/>
              </w:rPr>
              <w:t>Korte inleiding</w:t>
            </w:r>
          </w:p>
        </w:tc>
        <w:tc>
          <w:tcPr>
            <w:tcW w:w="6669" w:type="dxa"/>
            <w:tcBorders>
              <w:left w:val="nil"/>
            </w:tcBorders>
            <w:shd w:val="clear" w:color="auto" w:fill="FFFFFF"/>
          </w:tcPr>
          <w:p w14:paraId="630F6A3B" w14:textId="77777777" w:rsidR="007E72DF" w:rsidRDefault="007E72DF" w:rsidP="004C67E3">
            <w:r>
              <w:t>Het Oplossingsgericht werken is een interessant gedachtegoed dat in de opleiding tot POH niet of nauwelijks aan bod komt. De technieken van Motiverende Gespreksvoering gaan goed samen met deze manier van werken.</w:t>
            </w:r>
          </w:p>
          <w:p w14:paraId="616B4D1F" w14:textId="77777777" w:rsidR="007E72DF" w:rsidRDefault="007E72DF" w:rsidP="004C67E3">
            <w:r>
              <w:t xml:space="preserve">Oplossingsgericht werken zoekt niet naar oorzaken van problemen. De patiënt wordt bevraagd op wat hij wil bereiken en er wordt vooral gezocht naar wat er al wel goed gaat. Deze visie veronderstelt dat er altijd positieve uitzonderingen zijn, en die kunnen we versterken. </w:t>
            </w:r>
          </w:p>
          <w:p w14:paraId="6C7A897B" w14:textId="77777777" w:rsidR="007E72DF" w:rsidRDefault="007E72DF" w:rsidP="004C67E3">
            <w:r>
              <w:t>De principes en uitgangspunten worden besproken, zodat we ook de ideeën achter deze manier van werken goed begrijpen.</w:t>
            </w:r>
          </w:p>
          <w:p w14:paraId="33F9311D" w14:textId="77777777" w:rsidR="007E72DF" w:rsidRPr="004A34C8" w:rsidRDefault="007E72DF" w:rsidP="004C67E3">
            <w:r>
              <w:t>Vervolgens wordt een eenvoudig stappenplan gedemonstreerd en kan je het zelf onderling oefenen.</w:t>
            </w:r>
          </w:p>
        </w:tc>
      </w:tr>
      <w:tr w:rsidR="007E72DF" w:rsidRPr="004A34C8" w14:paraId="19E73F85" w14:textId="77777777" w:rsidTr="00F521C0">
        <w:tc>
          <w:tcPr>
            <w:tcW w:w="2653" w:type="dxa"/>
            <w:tcBorders>
              <w:right w:val="nil"/>
            </w:tcBorders>
            <w:shd w:val="clear" w:color="auto" w:fill="C0C0C0"/>
          </w:tcPr>
          <w:p w14:paraId="550252E4" w14:textId="77777777" w:rsidR="007E72DF" w:rsidRPr="004A34C8" w:rsidRDefault="007E72DF" w:rsidP="004C67E3">
            <w:pPr>
              <w:rPr>
                <w:rFonts w:ascii="Arial" w:hAnsi="Arial" w:cs="Arial"/>
                <w:b/>
                <w:bCs/>
              </w:rPr>
            </w:pPr>
          </w:p>
        </w:tc>
        <w:tc>
          <w:tcPr>
            <w:tcW w:w="6669" w:type="dxa"/>
            <w:tcBorders>
              <w:left w:val="nil"/>
            </w:tcBorders>
            <w:shd w:val="clear" w:color="auto" w:fill="C0C0C0"/>
          </w:tcPr>
          <w:p w14:paraId="5532D376" w14:textId="77777777" w:rsidR="007E72DF" w:rsidRPr="004A34C8" w:rsidRDefault="007E72DF" w:rsidP="004C67E3"/>
        </w:tc>
      </w:tr>
      <w:tr w:rsidR="007E72DF" w:rsidRPr="004A34C8" w14:paraId="07316360" w14:textId="77777777" w:rsidTr="00F521C0">
        <w:tc>
          <w:tcPr>
            <w:tcW w:w="2653" w:type="dxa"/>
            <w:tcBorders>
              <w:right w:val="nil"/>
            </w:tcBorders>
            <w:shd w:val="clear" w:color="auto" w:fill="FFFFFF"/>
          </w:tcPr>
          <w:p w14:paraId="577C8923" w14:textId="77777777" w:rsidR="007E72DF" w:rsidRPr="004A34C8" w:rsidRDefault="007E72DF" w:rsidP="004C67E3">
            <w:pPr>
              <w:rPr>
                <w:rFonts w:ascii="Arial" w:hAnsi="Arial" w:cs="Arial"/>
                <w:b/>
                <w:bCs/>
              </w:rPr>
            </w:pPr>
            <w:r w:rsidRPr="004A34C8">
              <w:rPr>
                <w:rFonts w:ascii="Arial" w:hAnsi="Arial" w:cs="Arial"/>
                <w:b/>
                <w:bCs/>
              </w:rPr>
              <w:t>Programma</w:t>
            </w:r>
          </w:p>
        </w:tc>
        <w:tc>
          <w:tcPr>
            <w:tcW w:w="6669" w:type="dxa"/>
            <w:tcBorders>
              <w:left w:val="nil"/>
            </w:tcBorders>
            <w:shd w:val="clear" w:color="auto" w:fill="FFFFFF"/>
          </w:tcPr>
          <w:tbl>
            <w:tblPr>
              <w:tblW w:w="6453" w:type="dxa"/>
              <w:tblCellMar>
                <w:left w:w="70" w:type="dxa"/>
                <w:right w:w="70" w:type="dxa"/>
              </w:tblCellMar>
              <w:tblLook w:val="04A0" w:firstRow="1" w:lastRow="0" w:firstColumn="1" w:lastColumn="0" w:noHBand="0" w:noVBand="1"/>
            </w:tblPr>
            <w:tblGrid>
              <w:gridCol w:w="1175"/>
              <w:gridCol w:w="5278"/>
            </w:tblGrid>
            <w:tr w:rsidR="00485FD0" w:rsidRPr="00485FD0" w14:paraId="09F59754" w14:textId="77777777" w:rsidTr="00F521C0">
              <w:trPr>
                <w:trHeight w:val="300"/>
              </w:trPr>
              <w:tc>
                <w:tcPr>
                  <w:tcW w:w="1175" w:type="dxa"/>
                  <w:tcBorders>
                    <w:top w:val="nil"/>
                    <w:left w:val="nil"/>
                    <w:bottom w:val="nil"/>
                    <w:right w:val="nil"/>
                  </w:tcBorders>
                  <w:shd w:val="clear" w:color="auto" w:fill="auto"/>
                  <w:noWrap/>
                  <w:vAlign w:val="center"/>
                  <w:hideMark/>
                </w:tcPr>
                <w:p w14:paraId="5FA5E9EA" w14:textId="77777777" w:rsidR="00485FD0" w:rsidRPr="00485FD0" w:rsidRDefault="00485FD0" w:rsidP="00485FD0">
                  <w:pPr>
                    <w:spacing w:line="240" w:lineRule="auto"/>
                    <w:rPr>
                      <w:i/>
                      <w:iCs/>
                      <w:color w:val="000000"/>
                    </w:rPr>
                  </w:pPr>
                  <w:r w:rsidRPr="00485FD0">
                    <w:rPr>
                      <w:i/>
                      <w:iCs/>
                      <w:color w:val="000000"/>
                    </w:rPr>
                    <w:t>17.30-18.00</w:t>
                  </w:r>
                </w:p>
              </w:tc>
              <w:tc>
                <w:tcPr>
                  <w:tcW w:w="5278" w:type="dxa"/>
                  <w:tcBorders>
                    <w:top w:val="nil"/>
                    <w:left w:val="nil"/>
                    <w:bottom w:val="nil"/>
                    <w:right w:val="nil"/>
                  </w:tcBorders>
                  <w:shd w:val="clear" w:color="auto" w:fill="auto"/>
                  <w:noWrap/>
                  <w:vAlign w:val="center"/>
                  <w:hideMark/>
                </w:tcPr>
                <w:p w14:paraId="7B0BACEA" w14:textId="77777777" w:rsidR="00485FD0" w:rsidRPr="00485FD0" w:rsidRDefault="00485FD0" w:rsidP="00485FD0">
                  <w:pPr>
                    <w:spacing w:line="240" w:lineRule="auto"/>
                    <w:rPr>
                      <w:i/>
                      <w:iCs/>
                      <w:color w:val="000000"/>
                    </w:rPr>
                  </w:pPr>
                  <w:r w:rsidRPr="00485FD0">
                    <w:rPr>
                      <w:i/>
                      <w:iCs/>
                      <w:color w:val="000000"/>
                    </w:rPr>
                    <w:t>Inloop en ontvangst met eenvoudige maaltijd</w:t>
                  </w:r>
                </w:p>
              </w:tc>
            </w:tr>
            <w:tr w:rsidR="00485FD0" w:rsidRPr="00485FD0" w14:paraId="63984CCF" w14:textId="77777777" w:rsidTr="00F521C0">
              <w:trPr>
                <w:trHeight w:val="300"/>
              </w:trPr>
              <w:tc>
                <w:tcPr>
                  <w:tcW w:w="1175" w:type="dxa"/>
                  <w:tcBorders>
                    <w:top w:val="nil"/>
                    <w:left w:val="nil"/>
                    <w:bottom w:val="nil"/>
                    <w:right w:val="nil"/>
                  </w:tcBorders>
                  <w:shd w:val="clear" w:color="auto" w:fill="auto"/>
                  <w:noWrap/>
                  <w:vAlign w:val="center"/>
                  <w:hideMark/>
                </w:tcPr>
                <w:p w14:paraId="2DBB30FB" w14:textId="77777777" w:rsidR="00485FD0" w:rsidRPr="00485FD0" w:rsidRDefault="00485FD0" w:rsidP="00485FD0">
                  <w:pPr>
                    <w:spacing w:line="240" w:lineRule="auto"/>
                    <w:rPr>
                      <w:color w:val="000000"/>
                    </w:rPr>
                  </w:pPr>
                  <w:r w:rsidRPr="00485FD0">
                    <w:rPr>
                      <w:color w:val="000000"/>
                    </w:rPr>
                    <w:t>18.00-18.10</w:t>
                  </w:r>
                </w:p>
              </w:tc>
              <w:tc>
                <w:tcPr>
                  <w:tcW w:w="5278" w:type="dxa"/>
                  <w:tcBorders>
                    <w:top w:val="nil"/>
                    <w:left w:val="nil"/>
                    <w:bottom w:val="nil"/>
                    <w:right w:val="nil"/>
                  </w:tcBorders>
                  <w:shd w:val="clear" w:color="auto" w:fill="auto"/>
                  <w:noWrap/>
                  <w:vAlign w:val="center"/>
                  <w:hideMark/>
                </w:tcPr>
                <w:p w14:paraId="0152E142" w14:textId="77777777" w:rsidR="00485FD0" w:rsidRPr="00485FD0" w:rsidRDefault="00485FD0" w:rsidP="00485FD0">
                  <w:pPr>
                    <w:spacing w:line="240" w:lineRule="auto"/>
                    <w:rPr>
                      <w:color w:val="000000"/>
                    </w:rPr>
                  </w:pPr>
                  <w:r w:rsidRPr="00485FD0">
                    <w:rPr>
                      <w:color w:val="000000"/>
                    </w:rPr>
                    <w:t>Introductie</w:t>
                  </w:r>
                </w:p>
              </w:tc>
            </w:tr>
            <w:tr w:rsidR="00485FD0" w:rsidRPr="00485FD0" w14:paraId="070D5967" w14:textId="77777777" w:rsidTr="00F521C0">
              <w:trPr>
                <w:trHeight w:val="300"/>
              </w:trPr>
              <w:tc>
                <w:tcPr>
                  <w:tcW w:w="1175" w:type="dxa"/>
                  <w:tcBorders>
                    <w:top w:val="nil"/>
                    <w:left w:val="nil"/>
                    <w:bottom w:val="nil"/>
                    <w:right w:val="nil"/>
                  </w:tcBorders>
                  <w:shd w:val="clear" w:color="auto" w:fill="auto"/>
                  <w:noWrap/>
                  <w:vAlign w:val="center"/>
                  <w:hideMark/>
                </w:tcPr>
                <w:p w14:paraId="64C78501" w14:textId="77777777" w:rsidR="00485FD0" w:rsidRPr="00485FD0" w:rsidRDefault="00485FD0" w:rsidP="00485FD0">
                  <w:pPr>
                    <w:spacing w:line="240" w:lineRule="auto"/>
                    <w:rPr>
                      <w:color w:val="000000"/>
                    </w:rPr>
                  </w:pPr>
                  <w:r w:rsidRPr="00485FD0">
                    <w:rPr>
                      <w:color w:val="000000"/>
                    </w:rPr>
                    <w:t>18.10-18.30</w:t>
                  </w:r>
                </w:p>
              </w:tc>
              <w:tc>
                <w:tcPr>
                  <w:tcW w:w="5278" w:type="dxa"/>
                  <w:tcBorders>
                    <w:top w:val="nil"/>
                    <w:left w:val="nil"/>
                    <w:bottom w:val="nil"/>
                    <w:right w:val="nil"/>
                  </w:tcBorders>
                  <w:shd w:val="clear" w:color="auto" w:fill="auto"/>
                  <w:noWrap/>
                  <w:vAlign w:val="center"/>
                  <w:hideMark/>
                </w:tcPr>
                <w:p w14:paraId="55465A91" w14:textId="77777777" w:rsidR="00485FD0" w:rsidRPr="00485FD0" w:rsidRDefault="00485FD0" w:rsidP="00485FD0">
                  <w:pPr>
                    <w:spacing w:line="240" w:lineRule="auto"/>
                    <w:rPr>
                      <w:color w:val="000000"/>
                    </w:rPr>
                  </w:pPr>
                  <w:r w:rsidRPr="00485FD0">
                    <w:rPr>
                      <w:color w:val="000000"/>
                    </w:rPr>
                    <w:t>Presentatie van de principes van oplossingsgericht werken</w:t>
                  </w:r>
                </w:p>
              </w:tc>
            </w:tr>
            <w:tr w:rsidR="00485FD0" w:rsidRPr="00485FD0" w14:paraId="6671AF46" w14:textId="77777777" w:rsidTr="00F521C0">
              <w:trPr>
                <w:trHeight w:val="300"/>
              </w:trPr>
              <w:tc>
                <w:tcPr>
                  <w:tcW w:w="1175" w:type="dxa"/>
                  <w:tcBorders>
                    <w:top w:val="nil"/>
                    <w:left w:val="nil"/>
                    <w:bottom w:val="nil"/>
                    <w:right w:val="nil"/>
                  </w:tcBorders>
                  <w:shd w:val="clear" w:color="auto" w:fill="auto"/>
                  <w:noWrap/>
                  <w:vAlign w:val="center"/>
                  <w:hideMark/>
                </w:tcPr>
                <w:p w14:paraId="262B6709" w14:textId="77777777" w:rsidR="00485FD0" w:rsidRPr="00485FD0" w:rsidRDefault="00485FD0" w:rsidP="00485FD0">
                  <w:pPr>
                    <w:spacing w:line="240" w:lineRule="auto"/>
                    <w:rPr>
                      <w:color w:val="000000"/>
                    </w:rPr>
                  </w:pPr>
                  <w:r w:rsidRPr="00485FD0">
                    <w:rPr>
                      <w:color w:val="000000"/>
                    </w:rPr>
                    <w:t>18.30-18.45</w:t>
                  </w:r>
                </w:p>
              </w:tc>
              <w:tc>
                <w:tcPr>
                  <w:tcW w:w="5278" w:type="dxa"/>
                  <w:tcBorders>
                    <w:top w:val="nil"/>
                    <w:left w:val="nil"/>
                    <w:bottom w:val="nil"/>
                    <w:right w:val="nil"/>
                  </w:tcBorders>
                  <w:shd w:val="clear" w:color="auto" w:fill="auto"/>
                  <w:noWrap/>
                  <w:vAlign w:val="center"/>
                  <w:hideMark/>
                </w:tcPr>
                <w:p w14:paraId="6A1C9AF6" w14:textId="77777777" w:rsidR="00485FD0" w:rsidRPr="00485FD0" w:rsidRDefault="00485FD0" w:rsidP="00485FD0">
                  <w:pPr>
                    <w:spacing w:line="240" w:lineRule="auto"/>
                    <w:rPr>
                      <w:color w:val="000000"/>
                    </w:rPr>
                  </w:pPr>
                  <w:r w:rsidRPr="00485FD0">
                    <w:rPr>
                      <w:color w:val="000000"/>
                    </w:rPr>
                    <w:t>Bespreken van overeenkomsten en verschillen met eigen werkwijze</w:t>
                  </w:r>
                </w:p>
              </w:tc>
            </w:tr>
            <w:tr w:rsidR="00485FD0" w:rsidRPr="00485FD0" w14:paraId="206B5210" w14:textId="77777777" w:rsidTr="00F521C0">
              <w:trPr>
                <w:trHeight w:val="300"/>
              </w:trPr>
              <w:tc>
                <w:tcPr>
                  <w:tcW w:w="1175" w:type="dxa"/>
                  <w:tcBorders>
                    <w:top w:val="nil"/>
                    <w:left w:val="nil"/>
                    <w:bottom w:val="nil"/>
                    <w:right w:val="nil"/>
                  </w:tcBorders>
                  <w:shd w:val="clear" w:color="auto" w:fill="auto"/>
                  <w:noWrap/>
                  <w:vAlign w:val="center"/>
                  <w:hideMark/>
                </w:tcPr>
                <w:p w14:paraId="325DFD74" w14:textId="77777777" w:rsidR="00485FD0" w:rsidRPr="00485FD0" w:rsidRDefault="00485FD0" w:rsidP="00485FD0">
                  <w:pPr>
                    <w:spacing w:line="240" w:lineRule="auto"/>
                    <w:rPr>
                      <w:color w:val="000000"/>
                    </w:rPr>
                  </w:pPr>
                  <w:r w:rsidRPr="00485FD0">
                    <w:rPr>
                      <w:color w:val="000000"/>
                    </w:rPr>
                    <w:t>18.45-19.00</w:t>
                  </w:r>
                </w:p>
              </w:tc>
              <w:tc>
                <w:tcPr>
                  <w:tcW w:w="5278" w:type="dxa"/>
                  <w:tcBorders>
                    <w:top w:val="nil"/>
                    <w:left w:val="nil"/>
                    <w:bottom w:val="nil"/>
                    <w:right w:val="nil"/>
                  </w:tcBorders>
                  <w:shd w:val="clear" w:color="auto" w:fill="auto"/>
                  <w:noWrap/>
                  <w:vAlign w:val="center"/>
                  <w:hideMark/>
                </w:tcPr>
                <w:p w14:paraId="5AD109A1" w14:textId="77777777" w:rsidR="00485FD0" w:rsidRPr="00485FD0" w:rsidRDefault="00485FD0" w:rsidP="00485FD0">
                  <w:pPr>
                    <w:spacing w:line="240" w:lineRule="auto"/>
                    <w:rPr>
                      <w:color w:val="000000"/>
                    </w:rPr>
                  </w:pPr>
                  <w:r w:rsidRPr="00485FD0">
                    <w:rPr>
                      <w:color w:val="000000"/>
                    </w:rPr>
                    <w:t>Demonstratie stappen van oplossingsgericht werken</w:t>
                  </w:r>
                </w:p>
              </w:tc>
            </w:tr>
            <w:tr w:rsidR="00485FD0" w:rsidRPr="00485FD0" w14:paraId="1C816AEF" w14:textId="77777777" w:rsidTr="00F521C0">
              <w:trPr>
                <w:trHeight w:val="300"/>
              </w:trPr>
              <w:tc>
                <w:tcPr>
                  <w:tcW w:w="1175" w:type="dxa"/>
                  <w:tcBorders>
                    <w:top w:val="nil"/>
                    <w:left w:val="nil"/>
                    <w:bottom w:val="nil"/>
                    <w:right w:val="nil"/>
                  </w:tcBorders>
                  <w:shd w:val="clear" w:color="auto" w:fill="auto"/>
                  <w:noWrap/>
                  <w:vAlign w:val="center"/>
                  <w:hideMark/>
                </w:tcPr>
                <w:p w14:paraId="5037EADB" w14:textId="77777777" w:rsidR="00485FD0" w:rsidRPr="00485FD0" w:rsidRDefault="00485FD0" w:rsidP="00485FD0">
                  <w:pPr>
                    <w:spacing w:line="240" w:lineRule="auto"/>
                    <w:rPr>
                      <w:color w:val="000000"/>
                    </w:rPr>
                  </w:pPr>
                  <w:r w:rsidRPr="00485FD0">
                    <w:rPr>
                      <w:color w:val="000000"/>
                    </w:rPr>
                    <w:t>19.00-19.45</w:t>
                  </w:r>
                </w:p>
              </w:tc>
              <w:tc>
                <w:tcPr>
                  <w:tcW w:w="5278" w:type="dxa"/>
                  <w:tcBorders>
                    <w:top w:val="nil"/>
                    <w:left w:val="nil"/>
                    <w:bottom w:val="nil"/>
                    <w:right w:val="nil"/>
                  </w:tcBorders>
                  <w:shd w:val="clear" w:color="auto" w:fill="auto"/>
                  <w:noWrap/>
                  <w:vAlign w:val="center"/>
                  <w:hideMark/>
                </w:tcPr>
                <w:p w14:paraId="0C39B27F" w14:textId="77777777" w:rsidR="00485FD0" w:rsidRPr="00485FD0" w:rsidRDefault="00485FD0" w:rsidP="00485FD0">
                  <w:pPr>
                    <w:spacing w:line="240" w:lineRule="auto"/>
                    <w:rPr>
                      <w:color w:val="000000"/>
                    </w:rPr>
                  </w:pPr>
                  <w:r w:rsidRPr="00485FD0">
                    <w:rPr>
                      <w:color w:val="000000"/>
                    </w:rPr>
                    <w:t>Oefenen in groepjes met de stappen</w:t>
                  </w:r>
                </w:p>
              </w:tc>
            </w:tr>
            <w:tr w:rsidR="00485FD0" w:rsidRPr="00485FD0" w14:paraId="02A81E11" w14:textId="77777777" w:rsidTr="00F521C0">
              <w:trPr>
                <w:trHeight w:val="300"/>
              </w:trPr>
              <w:tc>
                <w:tcPr>
                  <w:tcW w:w="1175" w:type="dxa"/>
                  <w:tcBorders>
                    <w:top w:val="nil"/>
                    <w:left w:val="nil"/>
                    <w:bottom w:val="nil"/>
                    <w:right w:val="nil"/>
                  </w:tcBorders>
                  <w:shd w:val="clear" w:color="auto" w:fill="auto"/>
                  <w:noWrap/>
                  <w:vAlign w:val="center"/>
                  <w:hideMark/>
                </w:tcPr>
                <w:p w14:paraId="2BF02087" w14:textId="77777777" w:rsidR="00485FD0" w:rsidRPr="00485FD0" w:rsidRDefault="00485FD0" w:rsidP="00485FD0">
                  <w:pPr>
                    <w:spacing w:line="240" w:lineRule="auto"/>
                    <w:rPr>
                      <w:i/>
                      <w:iCs/>
                      <w:color w:val="000000"/>
                    </w:rPr>
                  </w:pPr>
                  <w:r w:rsidRPr="00485FD0">
                    <w:rPr>
                      <w:i/>
                      <w:iCs/>
                      <w:color w:val="000000"/>
                    </w:rPr>
                    <w:t>19.45-20.00</w:t>
                  </w:r>
                </w:p>
              </w:tc>
              <w:tc>
                <w:tcPr>
                  <w:tcW w:w="5278" w:type="dxa"/>
                  <w:tcBorders>
                    <w:top w:val="nil"/>
                    <w:left w:val="nil"/>
                    <w:bottom w:val="nil"/>
                    <w:right w:val="nil"/>
                  </w:tcBorders>
                  <w:shd w:val="clear" w:color="auto" w:fill="auto"/>
                  <w:noWrap/>
                  <w:vAlign w:val="center"/>
                  <w:hideMark/>
                </w:tcPr>
                <w:p w14:paraId="361C9C62" w14:textId="77777777" w:rsidR="00485FD0" w:rsidRPr="00485FD0" w:rsidRDefault="00485FD0" w:rsidP="00485FD0">
                  <w:pPr>
                    <w:spacing w:line="240" w:lineRule="auto"/>
                    <w:rPr>
                      <w:i/>
                      <w:iCs/>
                      <w:color w:val="000000"/>
                    </w:rPr>
                  </w:pPr>
                  <w:r w:rsidRPr="00485FD0">
                    <w:rPr>
                      <w:i/>
                      <w:iCs/>
                      <w:color w:val="000000"/>
                    </w:rPr>
                    <w:t>Pauze</w:t>
                  </w:r>
                </w:p>
              </w:tc>
            </w:tr>
            <w:tr w:rsidR="00485FD0" w:rsidRPr="00485FD0" w14:paraId="2057E68A" w14:textId="77777777" w:rsidTr="00F521C0">
              <w:trPr>
                <w:trHeight w:val="300"/>
              </w:trPr>
              <w:tc>
                <w:tcPr>
                  <w:tcW w:w="1175" w:type="dxa"/>
                  <w:tcBorders>
                    <w:top w:val="nil"/>
                    <w:left w:val="nil"/>
                    <w:bottom w:val="nil"/>
                    <w:right w:val="nil"/>
                  </w:tcBorders>
                  <w:shd w:val="clear" w:color="auto" w:fill="auto"/>
                  <w:noWrap/>
                  <w:vAlign w:val="center"/>
                  <w:hideMark/>
                </w:tcPr>
                <w:p w14:paraId="06962A13" w14:textId="77777777" w:rsidR="00485FD0" w:rsidRPr="00485FD0" w:rsidRDefault="00485FD0" w:rsidP="00485FD0">
                  <w:pPr>
                    <w:spacing w:line="240" w:lineRule="auto"/>
                    <w:rPr>
                      <w:color w:val="000000"/>
                    </w:rPr>
                  </w:pPr>
                  <w:r w:rsidRPr="00485FD0">
                    <w:rPr>
                      <w:color w:val="000000"/>
                    </w:rPr>
                    <w:t>20.00-20.15</w:t>
                  </w:r>
                </w:p>
              </w:tc>
              <w:tc>
                <w:tcPr>
                  <w:tcW w:w="5278" w:type="dxa"/>
                  <w:tcBorders>
                    <w:top w:val="nil"/>
                    <w:left w:val="nil"/>
                    <w:bottom w:val="nil"/>
                    <w:right w:val="nil"/>
                  </w:tcBorders>
                  <w:shd w:val="clear" w:color="auto" w:fill="auto"/>
                  <w:noWrap/>
                  <w:vAlign w:val="center"/>
                  <w:hideMark/>
                </w:tcPr>
                <w:p w14:paraId="49D8E1B6" w14:textId="77777777" w:rsidR="00485FD0" w:rsidRPr="00485FD0" w:rsidRDefault="00485FD0" w:rsidP="00485FD0">
                  <w:pPr>
                    <w:spacing w:line="240" w:lineRule="auto"/>
                    <w:rPr>
                      <w:color w:val="000000"/>
                    </w:rPr>
                  </w:pPr>
                  <w:r w:rsidRPr="00485FD0">
                    <w:rPr>
                      <w:color w:val="000000"/>
                    </w:rPr>
                    <w:t xml:space="preserve">Presentatie: Verrijking van het </w:t>
                  </w:r>
                  <w:proofErr w:type="spellStart"/>
                  <w:r w:rsidRPr="00485FD0">
                    <w:rPr>
                      <w:color w:val="000000"/>
                    </w:rPr>
                    <w:t>repertoir</w:t>
                  </w:r>
                  <w:proofErr w:type="spellEnd"/>
                  <w:r w:rsidRPr="00485FD0">
                    <w:rPr>
                      <w:color w:val="000000"/>
                    </w:rPr>
                    <w:t>: vragen per stap</w:t>
                  </w:r>
                </w:p>
              </w:tc>
            </w:tr>
            <w:tr w:rsidR="00485FD0" w:rsidRPr="00485FD0" w14:paraId="62D71C9A" w14:textId="77777777" w:rsidTr="00F521C0">
              <w:trPr>
                <w:trHeight w:val="300"/>
              </w:trPr>
              <w:tc>
                <w:tcPr>
                  <w:tcW w:w="1175" w:type="dxa"/>
                  <w:tcBorders>
                    <w:top w:val="nil"/>
                    <w:left w:val="nil"/>
                    <w:bottom w:val="nil"/>
                    <w:right w:val="nil"/>
                  </w:tcBorders>
                  <w:shd w:val="clear" w:color="auto" w:fill="auto"/>
                  <w:noWrap/>
                  <w:vAlign w:val="center"/>
                  <w:hideMark/>
                </w:tcPr>
                <w:p w14:paraId="6734081C" w14:textId="77777777" w:rsidR="00485FD0" w:rsidRPr="00485FD0" w:rsidRDefault="00485FD0" w:rsidP="00485FD0">
                  <w:pPr>
                    <w:spacing w:line="240" w:lineRule="auto"/>
                    <w:rPr>
                      <w:color w:val="000000"/>
                    </w:rPr>
                  </w:pPr>
                  <w:r w:rsidRPr="00485FD0">
                    <w:rPr>
                      <w:color w:val="000000"/>
                    </w:rPr>
                    <w:t>20.15-21.00</w:t>
                  </w:r>
                </w:p>
              </w:tc>
              <w:tc>
                <w:tcPr>
                  <w:tcW w:w="5278" w:type="dxa"/>
                  <w:tcBorders>
                    <w:top w:val="nil"/>
                    <w:left w:val="nil"/>
                    <w:bottom w:val="nil"/>
                    <w:right w:val="nil"/>
                  </w:tcBorders>
                  <w:shd w:val="clear" w:color="auto" w:fill="auto"/>
                  <w:noWrap/>
                  <w:vAlign w:val="center"/>
                  <w:hideMark/>
                </w:tcPr>
                <w:p w14:paraId="5227FB0E" w14:textId="77777777" w:rsidR="00485FD0" w:rsidRPr="00485FD0" w:rsidRDefault="00485FD0" w:rsidP="00485FD0">
                  <w:pPr>
                    <w:spacing w:line="240" w:lineRule="auto"/>
                    <w:rPr>
                      <w:color w:val="000000"/>
                    </w:rPr>
                  </w:pPr>
                  <w:r w:rsidRPr="00485FD0">
                    <w:rPr>
                      <w:color w:val="000000"/>
                    </w:rPr>
                    <w:t>Tweede kortere oefenronde</w:t>
                  </w:r>
                </w:p>
              </w:tc>
            </w:tr>
            <w:tr w:rsidR="00485FD0" w:rsidRPr="00485FD0" w14:paraId="7F0ECEFB" w14:textId="77777777" w:rsidTr="00F521C0">
              <w:trPr>
                <w:trHeight w:val="300"/>
              </w:trPr>
              <w:tc>
                <w:tcPr>
                  <w:tcW w:w="1175" w:type="dxa"/>
                  <w:tcBorders>
                    <w:top w:val="nil"/>
                    <w:left w:val="nil"/>
                    <w:bottom w:val="nil"/>
                    <w:right w:val="nil"/>
                  </w:tcBorders>
                  <w:shd w:val="clear" w:color="auto" w:fill="auto"/>
                  <w:noWrap/>
                  <w:vAlign w:val="center"/>
                  <w:hideMark/>
                </w:tcPr>
                <w:p w14:paraId="71713BF3" w14:textId="77777777" w:rsidR="00485FD0" w:rsidRPr="00485FD0" w:rsidRDefault="00485FD0" w:rsidP="00485FD0">
                  <w:pPr>
                    <w:spacing w:line="240" w:lineRule="auto"/>
                    <w:rPr>
                      <w:color w:val="000000"/>
                    </w:rPr>
                  </w:pPr>
                  <w:r w:rsidRPr="00485FD0">
                    <w:rPr>
                      <w:color w:val="000000"/>
                    </w:rPr>
                    <w:t>21.00-21.10</w:t>
                  </w:r>
                </w:p>
              </w:tc>
              <w:tc>
                <w:tcPr>
                  <w:tcW w:w="5278" w:type="dxa"/>
                  <w:tcBorders>
                    <w:top w:val="nil"/>
                    <w:left w:val="nil"/>
                    <w:bottom w:val="nil"/>
                    <w:right w:val="nil"/>
                  </w:tcBorders>
                  <w:shd w:val="clear" w:color="auto" w:fill="auto"/>
                  <w:noWrap/>
                  <w:vAlign w:val="center"/>
                  <w:hideMark/>
                </w:tcPr>
                <w:p w14:paraId="2015CAB9" w14:textId="77777777" w:rsidR="00485FD0" w:rsidRPr="00485FD0" w:rsidRDefault="00485FD0" w:rsidP="00485FD0">
                  <w:pPr>
                    <w:spacing w:line="240" w:lineRule="auto"/>
                    <w:rPr>
                      <w:color w:val="000000"/>
                    </w:rPr>
                  </w:pPr>
                  <w:r w:rsidRPr="00485FD0">
                    <w:rPr>
                      <w:color w:val="000000"/>
                    </w:rPr>
                    <w:t>Ruimte voor vragen</w:t>
                  </w:r>
                </w:p>
              </w:tc>
            </w:tr>
            <w:tr w:rsidR="00485FD0" w:rsidRPr="00485FD0" w14:paraId="7E63FDA4" w14:textId="77777777" w:rsidTr="00F521C0">
              <w:trPr>
                <w:trHeight w:val="300"/>
              </w:trPr>
              <w:tc>
                <w:tcPr>
                  <w:tcW w:w="1175" w:type="dxa"/>
                  <w:tcBorders>
                    <w:top w:val="nil"/>
                    <w:left w:val="nil"/>
                    <w:bottom w:val="nil"/>
                    <w:right w:val="nil"/>
                  </w:tcBorders>
                  <w:shd w:val="clear" w:color="auto" w:fill="auto"/>
                  <w:noWrap/>
                  <w:vAlign w:val="center"/>
                  <w:hideMark/>
                </w:tcPr>
                <w:p w14:paraId="762760BA" w14:textId="77777777" w:rsidR="00485FD0" w:rsidRPr="00485FD0" w:rsidRDefault="00485FD0" w:rsidP="00485FD0">
                  <w:pPr>
                    <w:spacing w:line="240" w:lineRule="auto"/>
                    <w:rPr>
                      <w:color w:val="000000"/>
                    </w:rPr>
                  </w:pPr>
                  <w:r w:rsidRPr="00485FD0">
                    <w:rPr>
                      <w:color w:val="000000"/>
                    </w:rPr>
                    <w:lastRenderedPageBreak/>
                    <w:t>21.10-21.15</w:t>
                  </w:r>
                </w:p>
              </w:tc>
              <w:tc>
                <w:tcPr>
                  <w:tcW w:w="5278" w:type="dxa"/>
                  <w:tcBorders>
                    <w:top w:val="nil"/>
                    <w:left w:val="nil"/>
                    <w:bottom w:val="nil"/>
                    <w:right w:val="nil"/>
                  </w:tcBorders>
                  <w:shd w:val="clear" w:color="auto" w:fill="auto"/>
                  <w:noWrap/>
                  <w:vAlign w:val="center"/>
                  <w:hideMark/>
                </w:tcPr>
                <w:p w14:paraId="5FB6AEFD" w14:textId="77777777" w:rsidR="00485FD0" w:rsidRPr="00485FD0" w:rsidRDefault="00485FD0" w:rsidP="00485FD0">
                  <w:pPr>
                    <w:spacing w:line="240" w:lineRule="auto"/>
                    <w:rPr>
                      <w:color w:val="000000"/>
                    </w:rPr>
                  </w:pPr>
                  <w:r w:rsidRPr="00485FD0">
                    <w:rPr>
                      <w:color w:val="000000"/>
                    </w:rPr>
                    <w:t>Evaluatie</w:t>
                  </w:r>
                </w:p>
              </w:tc>
            </w:tr>
            <w:tr w:rsidR="00485FD0" w:rsidRPr="00485FD0" w14:paraId="6E0526A2" w14:textId="77777777" w:rsidTr="00F521C0">
              <w:trPr>
                <w:trHeight w:val="300"/>
              </w:trPr>
              <w:tc>
                <w:tcPr>
                  <w:tcW w:w="1175" w:type="dxa"/>
                  <w:tcBorders>
                    <w:top w:val="nil"/>
                    <w:left w:val="nil"/>
                    <w:bottom w:val="nil"/>
                    <w:right w:val="nil"/>
                  </w:tcBorders>
                  <w:shd w:val="clear" w:color="auto" w:fill="auto"/>
                  <w:noWrap/>
                  <w:vAlign w:val="center"/>
                  <w:hideMark/>
                </w:tcPr>
                <w:p w14:paraId="5D0685B2" w14:textId="77777777" w:rsidR="00485FD0" w:rsidRPr="00485FD0" w:rsidRDefault="00485FD0" w:rsidP="00485FD0">
                  <w:pPr>
                    <w:spacing w:line="240" w:lineRule="auto"/>
                    <w:rPr>
                      <w:color w:val="000000"/>
                    </w:rPr>
                  </w:pPr>
                  <w:r w:rsidRPr="00485FD0">
                    <w:rPr>
                      <w:color w:val="000000"/>
                    </w:rPr>
                    <w:t>21.15</w:t>
                  </w:r>
                </w:p>
              </w:tc>
              <w:tc>
                <w:tcPr>
                  <w:tcW w:w="5278" w:type="dxa"/>
                  <w:tcBorders>
                    <w:top w:val="nil"/>
                    <w:left w:val="nil"/>
                    <w:bottom w:val="nil"/>
                    <w:right w:val="nil"/>
                  </w:tcBorders>
                  <w:shd w:val="clear" w:color="auto" w:fill="auto"/>
                  <w:noWrap/>
                  <w:vAlign w:val="center"/>
                  <w:hideMark/>
                </w:tcPr>
                <w:p w14:paraId="5E43E716" w14:textId="77777777" w:rsidR="00485FD0" w:rsidRPr="00485FD0" w:rsidRDefault="00485FD0" w:rsidP="00485FD0">
                  <w:pPr>
                    <w:spacing w:line="240" w:lineRule="auto"/>
                    <w:rPr>
                      <w:color w:val="000000"/>
                    </w:rPr>
                  </w:pPr>
                  <w:r w:rsidRPr="00485FD0">
                    <w:rPr>
                      <w:color w:val="000000"/>
                    </w:rPr>
                    <w:t>Einde</w:t>
                  </w:r>
                </w:p>
              </w:tc>
            </w:tr>
          </w:tbl>
          <w:p w14:paraId="56A8076A" w14:textId="77777777" w:rsidR="007E72DF" w:rsidRPr="004A34C8" w:rsidRDefault="007E72DF" w:rsidP="00485FD0"/>
        </w:tc>
      </w:tr>
      <w:tr w:rsidR="007E72DF" w:rsidRPr="004A34C8" w14:paraId="45B9542C" w14:textId="77777777" w:rsidTr="00F521C0">
        <w:tc>
          <w:tcPr>
            <w:tcW w:w="2653" w:type="dxa"/>
            <w:tcBorders>
              <w:right w:val="nil"/>
            </w:tcBorders>
            <w:shd w:val="clear" w:color="auto" w:fill="C0C0C0"/>
          </w:tcPr>
          <w:p w14:paraId="0CBE02A4" w14:textId="77777777" w:rsidR="007E72DF" w:rsidRPr="004A34C8" w:rsidRDefault="007E72DF" w:rsidP="004C67E3">
            <w:pPr>
              <w:rPr>
                <w:rFonts w:ascii="Arial" w:hAnsi="Arial" w:cs="Arial"/>
                <w:b/>
                <w:bCs/>
              </w:rPr>
            </w:pPr>
            <w:r w:rsidRPr="004A34C8">
              <w:rPr>
                <w:rFonts w:ascii="Arial" w:hAnsi="Arial" w:cs="Arial"/>
                <w:b/>
                <w:bCs/>
              </w:rPr>
              <w:lastRenderedPageBreak/>
              <w:t>Voorbereiding</w:t>
            </w:r>
          </w:p>
        </w:tc>
        <w:tc>
          <w:tcPr>
            <w:tcW w:w="6669" w:type="dxa"/>
            <w:tcBorders>
              <w:left w:val="nil"/>
            </w:tcBorders>
            <w:shd w:val="clear" w:color="auto" w:fill="C0C0C0"/>
          </w:tcPr>
          <w:p w14:paraId="7077F9DC" w14:textId="77777777" w:rsidR="007E72DF" w:rsidRPr="004A34C8" w:rsidRDefault="007E72DF" w:rsidP="004C67E3"/>
        </w:tc>
      </w:tr>
      <w:tr w:rsidR="007E72DF" w:rsidRPr="004A34C8" w14:paraId="13B5DDA3" w14:textId="77777777" w:rsidTr="00F521C0">
        <w:tc>
          <w:tcPr>
            <w:tcW w:w="2653" w:type="dxa"/>
            <w:tcBorders>
              <w:right w:val="nil"/>
            </w:tcBorders>
            <w:shd w:val="clear" w:color="auto" w:fill="FFFFFF"/>
          </w:tcPr>
          <w:p w14:paraId="71DF0182" w14:textId="77777777" w:rsidR="007E72DF" w:rsidRPr="004A34C8" w:rsidRDefault="007E72DF" w:rsidP="004C67E3">
            <w:pPr>
              <w:pStyle w:val="Lijstalinea1"/>
              <w:numPr>
                <w:ilvl w:val="0"/>
                <w:numId w:val="2"/>
              </w:numPr>
              <w:spacing w:line="276" w:lineRule="auto"/>
              <w:rPr>
                <w:rFonts w:ascii="Arial" w:hAnsi="Arial" w:cs="Arial"/>
                <w:b/>
                <w:bCs/>
                <w:sz w:val="20"/>
                <w:szCs w:val="20"/>
              </w:rPr>
            </w:pPr>
            <w:r w:rsidRPr="004A34C8">
              <w:rPr>
                <w:rFonts w:ascii="Arial" w:hAnsi="Arial" w:cs="Arial"/>
                <w:b/>
                <w:bCs/>
                <w:sz w:val="20"/>
                <w:szCs w:val="20"/>
              </w:rPr>
              <w:t xml:space="preserve">Opdracht </w:t>
            </w:r>
          </w:p>
        </w:tc>
        <w:tc>
          <w:tcPr>
            <w:tcW w:w="6669" w:type="dxa"/>
            <w:tcBorders>
              <w:left w:val="nil"/>
            </w:tcBorders>
            <w:shd w:val="clear" w:color="auto" w:fill="FFFFFF"/>
          </w:tcPr>
          <w:p w14:paraId="1349DD27" w14:textId="77777777" w:rsidR="007E72DF" w:rsidRPr="004A34C8" w:rsidRDefault="007E72DF" w:rsidP="00F521C0">
            <w:r>
              <w:t>Denk na over wat je zelf zou willen veranderen of ontwikkelen</w:t>
            </w:r>
          </w:p>
        </w:tc>
      </w:tr>
    </w:tbl>
    <w:p w14:paraId="43048018" w14:textId="77777777" w:rsidR="007E7656" w:rsidRDefault="007E7656"/>
    <w:sectPr w:rsidR="007E7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030B6"/>
    <w:multiLevelType w:val="hybridMultilevel"/>
    <w:tmpl w:val="776A7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9A0EEB"/>
    <w:multiLevelType w:val="multilevel"/>
    <w:tmpl w:val="E4C84D8E"/>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846"/>
        </w:tabs>
        <w:ind w:left="84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DF"/>
    <w:rsid w:val="00485FD0"/>
    <w:rsid w:val="00592F42"/>
    <w:rsid w:val="007E72DF"/>
    <w:rsid w:val="007E7656"/>
    <w:rsid w:val="009F188D"/>
    <w:rsid w:val="00E867DB"/>
    <w:rsid w:val="00F52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40AF"/>
  <w15:docId w15:val="{5DAF1704-A4EE-47DB-ADF9-166B362D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72DF"/>
    <w:pPr>
      <w:spacing w:after="0" w:line="288"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7E72DF"/>
    <w:pPr>
      <w:keepNext/>
      <w:numPr>
        <w:numId w:val="1"/>
      </w:numPr>
      <w:spacing w:before="240" w:after="60"/>
      <w:outlineLvl w:val="0"/>
    </w:pPr>
    <w:rPr>
      <w:kern w:val="28"/>
      <w:sz w:val="28"/>
    </w:rPr>
  </w:style>
  <w:style w:type="paragraph" w:styleId="Kop2">
    <w:name w:val="heading 2"/>
    <w:basedOn w:val="Kop3"/>
    <w:next w:val="Standaard"/>
    <w:link w:val="Kop2Char"/>
    <w:qFormat/>
    <w:rsid w:val="007E72DF"/>
    <w:pPr>
      <w:numPr>
        <w:ilvl w:val="1"/>
      </w:numPr>
      <w:tabs>
        <w:tab w:val="clear" w:pos="846"/>
        <w:tab w:val="num" w:pos="360"/>
      </w:tabs>
      <w:ind w:left="720" w:hanging="720"/>
      <w:outlineLvl w:val="1"/>
    </w:pPr>
    <w:rPr>
      <w:b/>
    </w:rPr>
  </w:style>
  <w:style w:type="paragraph" w:styleId="Kop3">
    <w:name w:val="heading 3"/>
    <w:basedOn w:val="Standaard"/>
    <w:next w:val="Standaard"/>
    <w:link w:val="Kop3Char"/>
    <w:qFormat/>
    <w:rsid w:val="007E72DF"/>
    <w:pPr>
      <w:keepNext/>
      <w:numPr>
        <w:ilvl w:val="2"/>
        <w:numId w:val="1"/>
      </w:numPr>
      <w:spacing w:before="240" w:after="60"/>
      <w:outlineLvl w:val="2"/>
    </w:pPr>
    <w:rPr>
      <w:rFonts w:ascii="Arial" w:hAnsi="Arial"/>
      <w:sz w:val="24"/>
    </w:rPr>
  </w:style>
  <w:style w:type="paragraph" w:styleId="Kop4">
    <w:name w:val="heading 4"/>
    <w:basedOn w:val="Standaard"/>
    <w:next w:val="Standaard"/>
    <w:link w:val="Kop4Char"/>
    <w:qFormat/>
    <w:rsid w:val="007E72DF"/>
    <w:pPr>
      <w:keepNext/>
      <w:numPr>
        <w:ilvl w:val="3"/>
        <w:numId w:val="1"/>
      </w:numPr>
      <w:spacing w:before="240" w:after="60"/>
      <w:outlineLvl w:val="3"/>
    </w:pPr>
    <w:rPr>
      <w:rFonts w:ascii="Arial" w:hAnsi="Arial"/>
      <w:sz w:val="24"/>
    </w:rPr>
  </w:style>
  <w:style w:type="paragraph" w:styleId="Kop5">
    <w:name w:val="heading 5"/>
    <w:basedOn w:val="Standaard"/>
    <w:next w:val="Standaard"/>
    <w:link w:val="Kop5Char"/>
    <w:qFormat/>
    <w:rsid w:val="007E72DF"/>
    <w:pPr>
      <w:numPr>
        <w:ilvl w:val="4"/>
        <w:numId w:val="1"/>
      </w:numPr>
      <w:spacing w:before="240" w:after="60"/>
      <w:outlineLvl w:val="4"/>
    </w:pPr>
    <w:rPr>
      <w:sz w:val="22"/>
    </w:rPr>
  </w:style>
  <w:style w:type="paragraph" w:styleId="Kop6">
    <w:name w:val="heading 6"/>
    <w:basedOn w:val="Standaard"/>
    <w:next w:val="Standaard"/>
    <w:link w:val="Kop6Char"/>
    <w:qFormat/>
    <w:rsid w:val="007E72DF"/>
    <w:pPr>
      <w:numPr>
        <w:ilvl w:val="5"/>
        <w:numId w:val="1"/>
      </w:numPr>
      <w:spacing w:before="240" w:after="60"/>
      <w:outlineLvl w:val="5"/>
    </w:pPr>
    <w:rPr>
      <w:i/>
      <w:sz w:val="22"/>
    </w:rPr>
  </w:style>
  <w:style w:type="paragraph" w:styleId="Kop7">
    <w:name w:val="heading 7"/>
    <w:basedOn w:val="Standaard"/>
    <w:next w:val="Standaard"/>
    <w:link w:val="Kop7Char"/>
    <w:qFormat/>
    <w:rsid w:val="007E72DF"/>
    <w:pPr>
      <w:numPr>
        <w:ilvl w:val="6"/>
        <w:numId w:val="1"/>
      </w:numPr>
      <w:spacing w:before="240" w:after="60"/>
      <w:outlineLvl w:val="6"/>
    </w:pPr>
    <w:rPr>
      <w:rFonts w:ascii="Arial" w:hAnsi="Arial"/>
    </w:rPr>
  </w:style>
  <w:style w:type="paragraph" w:styleId="Kop8">
    <w:name w:val="heading 8"/>
    <w:basedOn w:val="Standaard"/>
    <w:next w:val="Standaard"/>
    <w:link w:val="Kop8Char"/>
    <w:qFormat/>
    <w:rsid w:val="007E72DF"/>
    <w:pPr>
      <w:numPr>
        <w:ilvl w:val="7"/>
        <w:numId w:val="1"/>
      </w:numPr>
      <w:spacing w:before="240" w:after="60"/>
      <w:outlineLvl w:val="7"/>
    </w:pPr>
    <w:rPr>
      <w:rFonts w:ascii="Arial" w:hAnsi="Arial"/>
      <w:i/>
    </w:rPr>
  </w:style>
  <w:style w:type="paragraph" w:styleId="Kop9">
    <w:name w:val="heading 9"/>
    <w:basedOn w:val="Standaard"/>
    <w:next w:val="Standaard"/>
    <w:link w:val="Kop9Char"/>
    <w:qFormat/>
    <w:rsid w:val="007E72DF"/>
    <w:pPr>
      <w:numPr>
        <w:ilvl w:val="8"/>
        <w:numId w:val="1"/>
      </w:numPr>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E72DF"/>
    <w:rPr>
      <w:rFonts w:ascii="Times New Roman" w:eastAsia="Times New Roman" w:hAnsi="Times New Roman" w:cs="Times New Roman"/>
      <w:kern w:val="28"/>
      <w:sz w:val="28"/>
      <w:szCs w:val="20"/>
      <w:lang w:eastAsia="nl-NL"/>
    </w:rPr>
  </w:style>
  <w:style w:type="character" w:customStyle="1" w:styleId="Kop2Char">
    <w:name w:val="Kop 2 Char"/>
    <w:basedOn w:val="Standaardalinea-lettertype"/>
    <w:link w:val="Kop2"/>
    <w:rsid w:val="007E72DF"/>
    <w:rPr>
      <w:rFonts w:ascii="Arial" w:eastAsia="Times New Roman" w:hAnsi="Arial" w:cs="Times New Roman"/>
      <w:b/>
      <w:sz w:val="24"/>
      <w:szCs w:val="20"/>
      <w:lang w:eastAsia="nl-NL"/>
    </w:rPr>
  </w:style>
  <w:style w:type="character" w:customStyle="1" w:styleId="Kop3Char">
    <w:name w:val="Kop 3 Char"/>
    <w:basedOn w:val="Standaardalinea-lettertype"/>
    <w:link w:val="Kop3"/>
    <w:rsid w:val="007E72DF"/>
    <w:rPr>
      <w:rFonts w:ascii="Arial" w:eastAsia="Times New Roman" w:hAnsi="Arial" w:cs="Times New Roman"/>
      <w:sz w:val="24"/>
      <w:szCs w:val="20"/>
      <w:lang w:eastAsia="nl-NL"/>
    </w:rPr>
  </w:style>
  <w:style w:type="character" w:customStyle="1" w:styleId="Kop4Char">
    <w:name w:val="Kop 4 Char"/>
    <w:basedOn w:val="Standaardalinea-lettertype"/>
    <w:link w:val="Kop4"/>
    <w:rsid w:val="007E72DF"/>
    <w:rPr>
      <w:rFonts w:ascii="Arial" w:eastAsia="Times New Roman" w:hAnsi="Arial" w:cs="Times New Roman"/>
      <w:sz w:val="24"/>
      <w:szCs w:val="20"/>
      <w:lang w:eastAsia="nl-NL"/>
    </w:rPr>
  </w:style>
  <w:style w:type="character" w:customStyle="1" w:styleId="Kop5Char">
    <w:name w:val="Kop 5 Char"/>
    <w:basedOn w:val="Standaardalinea-lettertype"/>
    <w:link w:val="Kop5"/>
    <w:rsid w:val="007E72DF"/>
    <w:rPr>
      <w:rFonts w:ascii="Times New Roman" w:eastAsia="Times New Roman" w:hAnsi="Times New Roman" w:cs="Times New Roman"/>
      <w:szCs w:val="20"/>
      <w:lang w:eastAsia="nl-NL"/>
    </w:rPr>
  </w:style>
  <w:style w:type="character" w:customStyle="1" w:styleId="Kop6Char">
    <w:name w:val="Kop 6 Char"/>
    <w:basedOn w:val="Standaardalinea-lettertype"/>
    <w:link w:val="Kop6"/>
    <w:rsid w:val="007E72DF"/>
    <w:rPr>
      <w:rFonts w:ascii="Times New Roman" w:eastAsia="Times New Roman" w:hAnsi="Times New Roman" w:cs="Times New Roman"/>
      <w:i/>
      <w:szCs w:val="20"/>
      <w:lang w:eastAsia="nl-NL"/>
    </w:rPr>
  </w:style>
  <w:style w:type="character" w:customStyle="1" w:styleId="Kop7Char">
    <w:name w:val="Kop 7 Char"/>
    <w:basedOn w:val="Standaardalinea-lettertype"/>
    <w:link w:val="Kop7"/>
    <w:rsid w:val="007E72DF"/>
    <w:rPr>
      <w:rFonts w:ascii="Arial" w:eastAsia="Times New Roman" w:hAnsi="Arial" w:cs="Times New Roman"/>
      <w:sz w:val="20"/>
      <w:szCs w:val="20"/>
      <w:lang w:eastAsia="nl-NL"/>
    </w:rPr>
  </w:style>
  <w:style w:type="character" w:customStyle="1" w:styleId="Kop8Char">
    <w:name w:val="Kop 8 Char"/>
    <w:basedOn w:val="Standaardalinea-lettertype"/>
    <w:link w:val="Kop8"/>
    <w:rsid w:val="007E72DF"/>
    <w:rPr>
      <w:rFonts w:ascii="Arial" w:eastAsia="Times New Roman" w:hAnsi="Arial" w:cs="Times New Roman"/>
      <w:i/>
      <w:sz w:val="20"/>
      <w:szCs w:val="20"/>
      <w:lang w:eastAsia="nl-NL"/>
    </w:rPr>
  </w:style>
  <w:style w:type="character" w:customStyle="1" w:styleId="Kop9Char">
    <w:name w:val="Kop 9 Char"/>
    <w:basedOn w:val="Standaardalinea-lettertype"/>
    <w:link w:val="Kop9"/>
    <w:rsid w:val="007E72DF"/>
    <w:rPr>
      <w:rFonts w:ascii="Arial" w:eastAsia="Times New Roman" w:hAnsi="Arial" w:cs="Times New Roman"/>
      <w:i/>
      <w:sz w:val="18"/>
      <w:szCs w:val="20"/>
      <w:lang w:eastAsia="nl-NL"/>
    </w:rPr>
  </w:style>
  <w:style w:type="paragraph" w:customStyle="1" w:styleId="Lijstalinea1">
    <w:name w:val="Lijstalinea1"/>
    <w:basedOn w:val="Standaard"/>
    <w:rsid w:val="007E72DF"/>
    <w:pPr>
      <w:ind w:left="720"/>
      <w:contextualSpacing/>
      <w:jc w:val="both"/>
    </w:pPr>
    <w:rPr>
      <w:rFonts w:ascii="Calibri" w:hAnsi="Calibri"/>
      <w:sz w:val="22"/>
      <w:szCs w:val="24"/>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4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CE738B3FC5646BFBC9F3673BFBFEF" ma:contentTypeVersion="11" ma:contentTypeDescription="Een nieuw document maken." ma:contentTypeScope="" ma:versionID="bc7607e98cd08f1d4a74db6a2784846b">
  <xsd:schema xmlns:xsd="http://www.w3.org/2001/XMLSchema" xmlns:xs="http://www.w3.org/2001/XMLSchema" xmlns:p="http://schemas.microsoft.com/office/2006/metadata/properties" xmlns:ns2="41b93505-43b2-488b-ab05-cda121f617aa" targetNamespace="http://schemas.microsoft.com/office/2006/metadata/properties" ma:root="true" ma:fieldsID="724318a687511eb4dc53b68c31913562" ns2:_="">
    <xsd:import namespace="41b93505-43b2-488b-ab05-cda121f617a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3505-43b2-488b-ab05-cda121f617a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1b93505-43b2-488b-ab05-cda121f617aa">WXCCFPTZV2M4-2119437603-241</_dlc_DocId>
    <_dlc_DocIdUrl xmlns="41b93505-43b2-488b-ab05-cda121f617aa">
      <Url>https://connect.fontys.nl/instituten/fhmg/mdw/SKOOP/_layouts/15/DocIdRedir.aspx?ID=WXCCFPTZV2M4-2119437603-241</Url>
      <Description>WXCCFPTZV2M4-2119437603-241</Description>
    </_dlc_DocIdUrl>
  </documentManagement>
</p:properties>
</file>

<file path=customXml/itemProps1.xml><?xml version="1.0" encoding="utf-8"?>
<ds:datastoreItem xmlns:ds="http://schemas.openxmlformats.org/officeDocument/2006/customXml" ds:itemID="{E8A17E1C-3BF1-4418-946D-2D71C63FD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93505-43b2-488b-ab05-cda121f61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503DD-B594-4445-A578-84381F54EF1B}">
  <ds:schemaRefs>
    <ds:schemaRef ds:uri="http://schemas.microsoft.com/sharepoint/events"/>
  </ds:schemaRefs>
</ds:datastoreItem>
</file>

<file path=customXml/itemProps3.xml><?xml version="1.0" encoding="utf-8"?>
<ds:datastoreItem xmlns:ds="http://schemas.openxmlformats.org/officeDocument/2006/customXml" ds:itemID="{F9B42001-66CB-4F04-9D98-AEE1DF28EA2E}">
  <ds:schemaRefs>
    <ds:schemaRef ds:uri="http://schemas.microsoft.com/sharepoint/v3/contenttype/forms"/>
  </ds:schemaRefs>
</ds:datastoreItem>
</file>

<file path=customXml/itemProps4.xml><?xml version="1.0" encoding="utf-8"?>
<ds:datastoreItem xmlns:ds="http://schemas.openxmlformats.org/officeDocument/2006/customXml" ds:itemID="{987DFB66-95C0-406B-88A2-4CB81C0BFA7B}">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terms/"/>
    <ds:schemaRef ds:uri="41b93505-43b2-488b-ab05-cda121f617a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1785</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van der Veen</dc:creator>
  <cp:lastModifiedBy>Bax,Marion M.H.</cp:lastModifiedBy>
  <cp:revision>2</cp:revision>
  <dcterms:created xsi:type="dcterms:W3CDTF">2017-04-19T09:26:00Z</dcterms:created>
  <dcterms:modified xsi:type="dcterms:W3CDTF">2017-04-19T09:26:00Z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0x010100A03CE738B3FC5646BFBC9F3673BFBFEF</vt:lpwstr>
  </property>
  <property fmtid="{D5CDD505-2E9C-101B-9397-08002B2CF9AE}" pid="3" name="_dlc_DocIdItemGuid">
    <vt:lpwstr>faf72809-0d6d-4514-aafc-be59e238b430</vt:lpwstr>
  </property>
</Properties>
</file>